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bCs/>
          <w:smallCaps/>
          <w:noProof/>
          <w:sz w:val="24"/>
          <w:lang w:val="hu"/>
        </w:rPr>
        <w:t xml:space="preserve">Single Tender </w:t>
      </w:r>
      <w:r w:rsidR="0032202C">
        <w:rPr>
          <w:rFonts w:ascii="Open Sans" w:hAnsi="Open Sans" w:cs="Open Sans"/>
          <w:bCs/>
          <w:smallCaps/>
          <w:noProof/>
          <w:sz w:val="24"/>
          <w:lang w:val="hu"/>
        </w:rPr>
        <w:t xml:space="preserve">jegyzőkönyv </w:t>
      </w:r>
      <w:r>
        <w:rPr>
          <w:rFonts w:ascii="Open Sans" w:hAnsi="Open Sans" w:cs="Open Sans"/>
          <w:bCs/>
          <w:smallCaps/>
          <w:noProof/>
          <w:sz w:val="24"/>
          <w:lang w:val="hu"/>
        </w:rPr>
        <w:t>– Szolgáltatás</w:t>
      </w:r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0F577F" w:rsidRDefault="0073260A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>
        <w:rPr>
          <w:rFonts w:ascii="Open Sans" w:hAnsi="Open Sans" w:cs="Open Sans"/>
          <w:b/>
          <w:bCs/>
          <w:sz w:val="20"/>
          <w:lang w:val="hu"/>
        </w:rPr>
        <w:t>REFERENCIASZÁM</w:t>
      </w:r>
      <w:proofErr w:type="gramStart"/>
      <w:r w:rsidR="00B15C5D">
        <w:rPr>
          <w:rFonts w:ascii="Open Sans" w:hAnsi="Open Sans" w:cs="Open Sans"/>
          <w:b/>
          <w:bCs/>
          <w:sz w:val="20"/>
          <w:lang w:val="hu"/>
        </w:rPr>
        <w:t>.:</w:t>
      </w:r>
      <w:proofErr w:type="gramEnd"/>
      <w:r w:rsidR="00B15C5D">
        <w:rPr>
          <w:rFonts w:ascii="Open Sans" w:hAnsi="Open Sans" w:cs="Open Sans"/>
          <w:b/>
          <w:bCs/>
          <w:sz w:val="20"/>
          <w:lang w:val="hu"/>
        </w:rPr>
        <w:t xml:space="preserve"> </w:t>
      </w:r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[</w:t>
      </w:r>
      <w:proofErr w:type="spellStart"/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xxxxxxxxxx</w:t>
      </w:r>
      <w:proofErr w:type="spellEnd"/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]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0F577F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 xml:space="preserve">Maximálisan rendelkezésre álló keret: </w:t>
      </w:r>
      <w:r>
        <w:rPr>
          <w:rFonts w:ascii="Open Sans" w:hAnsi="Open Sans" w:cs="Open Sans"/>
          <w:sz w:val="20"/>
          <w:highlight w:val="lightGray"/>
          <w:lang w:val="hu"/>
        </w:rPr>
        <w:t>[összeg]</w:t>
      </w:r>
      <w:r>
        <w:rPr>
          <w:rFonts w:ascii="Open Sans" w:hAnsi="Open Sans" w:cs="Open Sans"/>
          <w:sz w:val="20"/>
          <w:lang w:val="hu"/>
        </w:rPr>
        <w:t xml:space="preserve"> EUR, amely </w:t>
      </w:r>
      <w:r>
        <w:rPr>
          <w:rFonts w:ascii="Open Sans" w:hAnsi="Open Sans" w:cs="Open Sans"/>
          <w:sz w:val="20"/>
          <w:highlight w:val="lightGray"/>
          <w:lang w:val="hu"/>
        </w:rPr>
        <w:t>[összeg]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[nemzeti pénznem]</w:t>
      </w:r>
      <w:r>
        <w:rPr>
          <w:rFonts w:ascii="Open Sans" w:hAnsi="Open Sans" w:cs="Open Sans"/>
          <w:sz w:val="20"/>
          <w:lang w:val="hu"/>
        </w:rPr>
        <w:t xml:space="preserve"> összegnek felel meg, </w:t>
      </w:r>
      <w:proofErr w:type="gramStart"/>
      <w:r>
        <w:rPr>
          <w:rFonts w:ascii="Open Sans" w:hAnsi="Open Sans" w:cs="Open Sans"/>
          <w:sz w:val="20"/>
          <w:lang w:val="hu"/>
        </w:rPr>
        <w:t>a(</w:t>
      </w:r>
      <w:proofErr w:type="gramEnd"/>
      <w:r>
        <w:rPr>
          <w:rFonts w:ascii="Open Sans" w:hAnsi="Open Sans" w:cs="Open Sans"/>
          <w:sz w:val="20"/>
          <w:lang w:val="hu"/>
        </w:rPr>
        <w:t xml:space="preserve">z) </w:t>
      </w:r>
      <w:r>
        <w:rPr>
          <w:rFonts w:ascii="Open Sans" w:hAnsi="Open Sans" w:cs="Open Sans"/>
          <w:sz w:val="20"/>
          <w:highlight w:val="lightGray"/>
          <w:lang w:val="hu"/>
        </w:rPr>
        <w:t>[ajánlattételi eljárás megindítási hónapja]</w:t>
      </w:r>
      <w:r>
        <w:rPr>
          <w:rFonts w:ascii="Open Sans" w:hAnsi="Open Sans" w:cs="Open Sans"/>
          <w:sz w:val="20"/>
          <w:lang w:val="hu"/>
        </w:rPr>
        <w:t xml:space="preserve"> havi </w:t>
      </w:r>
      <w:proofErr w:type="spellStart"/>
      <w:r>
        <w:rPr>
          <w:rFonts w:ascii="Open Sans" w:hAnsi="Open Sans" w:cs="Open Sans"/>
          <w:sz w:val="20"/>
          <w:lang w:val="hu"/>
        </w:rPr>
        <w:t>Inforeuro</w:t>
      </w:r>
      <w:proofErr w:type="spellEnd"/>
      <w:r>
        <w:rPr>
          <w:rFonts w:ascii="Open Sans" w:hAnsi="Open Sans" w:cs="Open Sans"/>
          <w:sz w:val="20"/>
          <w:lang w:val="hu"/>
        </w:rPr>
        <w:t xml:space="preserve"> árfolyammal számítva.</w:t>
      </w: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Default="001B3804" w:rsidP="00606C52">
      <w:pPr>
        <w:keepNext/>
        <w:ind w:right="-64"/>
        <w:jc w:val="both"/>
        <w:rPr>
          <w:rFonts w:ascii="Open Sans" w:hAnsi="Open Sans" w:cs="Open Sans"/>
          <w:sz w:val="20"/>
          <w:lang w:val="hu"/>
        </w:rPr>
      </w:pPr>
      <w:r w:rsidRPr="008F349D">
        <w:rPr>
          <w:rFonts w:ascii="Open Sans" w:hAnsi="Open Sans" w:cs="Open Sans"/>
          <w:sz w:val="20"/>
          <w:lang w:val="hu"/>
        </w:rPr>
        <w:t>Az ajánlattételi határidő</w:t>
      </w:r>
      <w:r w:rsidRPr="008F349D">
        <w:rPr>
          <w:rStyle w:val="Lbjegyzet-hivatkozs"/>
          <w:rFonts w:ascii="Open Sans" w:hAnsi="Open Sans" w:cs="Open Sans"/>
          <w:sz w:val="20"/>
          <w:lang w:val="hu"/>
        </w:rPr>
        <w:footnoteReference w:id="1"/>
      </w:r>
      <w:r w:rsidRPr="008F349D">
        <w:rPr>
          <w:rFonts w:ascii="Open Sans" w:hAnsi="Open Sans" w:cs="Open Sans"/>
          <w:sz w:val="20"/>
          <w:lang w:val="hu"/>
        </w:rPr>
        <w:t xml:space="preserve"> [</w:t>
      </w:r>
      <w:proofErr w:type="spellStart"/>
      <w:r w:rsidRPr="008F349D">
        <w:rPr>
          <w:rFonts w:ascii="Open Sans" w:hAnsi="Open Sans" w:cs="Open Sans"/>
          <w:sz w:val="20"/>
          <w:lang w:val="hu"/>
        </w:rPr>
        <w:t>éééé</w:t>
      </w:r>
      <w:proofErr w:type="spellEnd"/>
      <w:r w:rsidRPr="008F349D">
        <w:rPr>
          <w:rFonts w:ascii="Open Sans" w:hAnsi="Open Sans" w:cs="Open Sans"/>
          <w:sz w:val="20"/>
          <w:lang w:val="hu"/>
        </w:rPr>
        <w:t>/</w:t>
      </w:r>
      <w:proofErr w:type="spellStart"/>
      <w:r w:rsidRPr="008F349D">
        <w:rPr>
          <w:rFonts w:ascii="Open Sans" w:hAnsi="Open Sans" w:cs="Open Sans"/>
          <w:sz w:val="20"/>
          <w:lang w:val="hu"/>
        </w:rPr>
        <w:t>hh</w:t>
      </w:r>
      <w:proofErr w:type="spellEnd"/>
      <w:r w:rsidRPr="008F349D">
        <w:rPr>
          <w:rFonts w:ascii="Open Sans" w:hAnsi="Open Sans" w:cs="Open Sans"/>
          <w:sz w:val="20"/>
          <w:lang w:val="hu"/>
        </w:rPr>
        <w:t>/</w:t>
      </w:r>
      <w:proofErr w:type="spellStart"/>
      <w:r w:rsidRPr="008F349D">
        <w:rPr>
          <w:rFonts w:ascii="Open Sans" w:hAnsi="Open Sans" w:cs="Open Sans"/>
          <w:sz w:val="20"/>
          <w:lang w:val="hu"/>
        </w:rPr>
        <w:t>nn</w:t>
      </w:r>
      <w:proofErr w:type="spellEnd"/>
      <w:r w:rsidRPr="008F349D">
        <w:rPr>
          <w:rFonts w:ascii="Open Sans" w:hAnsi="Open Sans" w:cs="Open Sans"/>
          <w:sz w:val="20"/>
          <w:lang w:val="hu"/>
        </w:rPr>
        <w:t>] [</w:t>
      </w:r>
      <w:proofErr w:type="spellStart"/>
      <w:r w:rsidRPr="008F349D">
        <w:rPr>
          <w:rFonts w:ascii="Open Sans" w:hAnsi="Open Sans" w:cs="Open Sans"/>
          <w:sz w:val="20"/>
          <w:lang w:val="hu"/>
        </w:rPr>
        <w:t>xx</w:t>
      </w:r>
      <w:proofErr w:type="spellEnd"/>
      <w:proofErr w:type="gramStart"/>
      <w:r w:rsidRPr="008F349D">
        <w:rPr>
          <w:rFonts w:ascii="Open Sans" w:hAnsi="Open Sans" w:cs="Open Sans"/>
          <w:sz w:val="20"/>
          <w:lang w:val="hu"/>
        </w:rPr>
        <w:t>:</w:t>
      </w:r>
      <w:proofErr w:type="spellStart"/>
      <w:r w:rsidRPr="008F349D">
        <w:rPr>
          <w:rFonts w:ascii="Open Sans" w:hAnsi="Open Sans" w:cs="Open Sans"/>
          <w:sz w:val="20"/>
          <w:lang w:val="hu"/>
        </w:rPr>
        <w:t>xx</w:t>
      </w:r>
      <w:proofErr w:type="spellEnd"/>
      <w:proofErr w:type="gramEnd"/>
      <w:r w:rsidRPr="008F349D">
        <w:rPr>
          <w:rFonts w:ascii="Open Sans" w:hAnsi="Open Sans" w:cs="Open Sans"/>
          <w:sz w:val="20"/>
          <w:lang w:val="hu"/>
        </w:rPr>
        <w:t>] óra volt.</w:t>
      </w:r>
      <w:r w:rsidR="006D77E5" w:rsidRPr="008F349D">
        <w:rPr>
          <w:rFonts w:ascii="Open Sans" w:hAnsi="Open Sans" w:cs="Open Sans"/>
          <w:sz w:val="20"/>
          <w:lang w:val="hu"/>
        </w:rPr>
        <w:t xml:space="preserve"> </w:t>
      </w:r>
    </w:p>
    <w:p w:rsidR="008F349D" w:rsidRPr="000F577F" w:rsidRDefault="008F349D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0F577F" w:rsidRDefault="0073260A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>A</w:t>
      </w:r>
      <w:r w:rsidR="0087352E">
        <w:rPr>
          <w:rFonts w:ascii="Open Sans" w:hAnsi="Open Sans" w:cs="Open Sans"/>
          <w:sz w:val="20"/>
          <w:lang w:val="hu"/>
        </w:rPr>
        <w:t xml:space="preserve">z ajánlatkérő </w:t>
      </w:r>
      <w:r>
        <w:rPr>
          <w:rFonts w:ascii="Open Sans" w:hAnsi="Open Sans" w:cs="Open Sans"/>
          <w:sz w:val="20"/>
          <w:lang w:val="hu"/>
        </w:rPr>
        <w:t xml:space="preserve">az alábbiak szerint végezte az értékelést. 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>
        <w:rPr>
          <w:rFonts w:ascii="Open Sans" w:hAnsi="Open Sans" w:cs="Open Sans"/>
          <w:b/>
          <w:bCs/>
          <w:smallCaps/>
          <w:sz w:val="20"/>
          <w:lang w:val="hu"/>
        </w:rPr>
        <w:t>Adminisztratív ellenőrzés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418"/>
        <w:gridCol w:w="1134"/>
        <w:gridCol w:w="1701"/>
        <w:gridCol w:w="1417"/>
      </w:tblGrid>
      <w:tr w:rsidR="00C00247" w:rsidRPr="00D07AF4" w:rsidTr="00C34626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Ajánlati boríték </w:t>
            </w:r>
            <w:r w:rsidR="0073260A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sor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száma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Ajánlattevő neve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br w:type="textWrapping" w:clear="all"/>
              <w:t>Határidőben érkezett? (I/N)</w:t>
            </w:r>
          </w:p>
        </w:tc>
        <w:tc>
          <w:tcPr>
            <w:tcW w:w="1418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ajánlati dokumentáció teljes?</w:t>
            </w:r>
            <w:r>
              <w:rPr>
                <w:rFonts w:ascii="Open Sans" w:hAnsi="Open Sans" w:cs="Open Sans"/>
                <w:sz w:val="16"/>
                <w:szCs w:val="16"/>
                <w:lang w:val="hu"/>
              </w:rPr>
              <w:t xml:space="preserve"> 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C00247" w:rsidRPr="00D07AF4" w:rsidRDefault="0073260A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Nemzetiség megfelelő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?</w:t>
            </w:r>
            <w:r w:rsidR="00C00247">
              <w:rPr>
                <w:rFonts w:ascii="Open Sans" w:hAnsi="Open Sans" w:cs="Open Sans"/>
                <w:sz w:val="16"/>
                <w:szCs w:val="16"/>
                <w:lang w:val="hu"/>
              </w:rPr>
              <w:t xml:space="preserve"> 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 teljes és adminisztratív szempontból megfelel?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Megjegyzés</w:t>
            </w:r>
          </w:p>
        </w:tc>
      </w:tr>
      <w:tr w:rsidR="00C00247" w:rsidRPr="000F577F" w:rsidTr="00C34626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1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577F" w:rsidTr="00C34626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2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577F" w:rsidTr="00C34626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hu"/>
              </w:rPr>
              <w:t>[…]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>
        <w:rPr>
          <w:rFonts w:ascii="Open Sans" w:hAnsi="Open Sans" w:cs="Open Sans"/>
          <w:b/>
          <w:bCs/>
          <w:smallCaps/>
          <w:snapToGrid/>
          <w:sz w:val="20"/>
          <w:lang w:val="hu"/>
        </w:rPr>
        <w:t>értékelés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134"/>
        <w:gridCol w:w="992"/>
        <w:gridCol w:w="992"/>
        <w:gridCol w:w="1134"/>
        <w:gridCol w:w="992"/>
        <w:gridCol w:w="993"/>
        <w:gridCol w:w="850"/>
      </w:tblGrid>
      <w:tr w:rsidR="00C00247" w:rsidRPr="00D07AF4" w:rsidTr="00C34626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C00247" w:rsidRPr="00D07AF4" w:rsidRDefault="00C00247" w:rsidP="00CB4E87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Ajánlati boríték </w:t>
            </w:r>
            <w:r w:rsidR="0073260A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sor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száma</w:t>
            </w:r>
          </w:p>
        </w:tc>
        <w:tc>
          <w:tcPr>
            <w:tcW w:w="2268" w:type="dxa"/>
            <w:shd w:val="pct10" w:color="auto" w:fill="FFFFFF"/>
            <w:vAlign w:val="center"/>
          </w:tcPr>
          <w:p w:rsidR="00C00247" w:rsidRPr="0032268B" w:rsidRDefault="00C00247" w:rsidP="009A70A6">
            <w:pPr>
              <w:keepNext/>
              <w:spacing w:before="120" w:after="120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Ajánlattevő neve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32268B" w:rsidRDefault="00530D2E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szakmai</w:t>
            </w:r>
            <w:r w:rsidR="0073260A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 átlag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 pontszám*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32268B" w:rsidRDefault="00C34626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Végleges s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zakmai pontszám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(A)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Pénzügyi ajánlat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(Nemzeti pénznem/euró)</w:t>
            </w:r>
          </w:p>
        </w:tc>
        <w:tc>
          <w:tcPr>
            <w:tcW w:w="1134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 pénzügyi ajánlat a rendelkezésre álló kereten belül van?</w:t>
            </w:r>
          </w:p>
        </w:tc>
        <w:tc>
          <w:tcPr>
            <w:tcW w:w="992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Pénzügyi pontszám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(B)</w:t>
            </w:r>
          </w:p>
        </w:tc>
        <w:tc>
          <w:tcPr>
            <w:tcW w:w="993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Teljes pontszám</w:t>
            </w:r>
          </w:p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(Ax0,80 + Bx0,20)</w:t>
            </w:r>
          </w:p>
        </w:tc>
        <w:tc>
          <w:tcPr>
            <w:tcW w:w="850" w:type="dxa"/>
            <w:shd w:val="pct10" w:color="auto" w:fill="FFFFFF"/>
            <w:vAlign w:val="center"/>
          </w:tcPr>
          <w:p w:rsidR="00C00247" w:rsidRPr="0032268B" w:rsidRDefault="00C00247" w:rsidP="00C00247">
            <w:pPr>
              <w:keepNext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Helyezés</w:t>
            </w:r>
          </w:p>
        </w:tc>
      </w:tr>
      <w:tr w:rsidR="00C00247" w:rsidRPr="00D07AF4" w:rsidTr="00C34626">
        <w:trPr>
          <w:cantSplit/>
        </w:trPr>
        <w:tc>
          <w:tcPr>
            <w:tcW w:w="426" w:type="dxa"/>
            <w:vAlign w:val="center"/>
          </w:tcPr>
          <w:p w:rsidR="00C00247" w:rsidRPr="000F577F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1</w:t>
            </w:r>
          </w:p>
        </w:tc>
        <w:tc>
          <w:tcPr>
            <w:tcW w:w="2268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D07AF4" w:rsidTr="00C34626">
        <w:trPr>
          <w:cantSplit/>
        </w:trPr>
        <w:tc>
          <w:tcPr>
            <w:tcW w:w="426" w:type="dxa"/>
            <w:vAlign w:val="center"/>
          </w:tcPr>
          <w:p w:rsidR="00C00247" w:rsidRPr="000F577F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2</w:t>
            </w:r>
          </w:p>
        </w:tc>
        <w:tc>
          <w:tcPr>
            <w:tcW w:w="2268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D07AF4" w:rsidTr="00C34626">
        <w:trPr>
          <w:cantSplit/>
        </w:trPr>
        <w:tc>
          <w:tcPr>
            <w:tcW w:w="426" w:type="dxa"/>
            <w:vAlign w:val="center"/>
          </w:tcPr>
          <w:p w:rsidR="00C00247" w:rsidRPr="000F577F" w:rsidRDefault="00C00247" w:rsidP="00CB4E87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hu"/>
              </w:rPr>
              <w:t>[…]</w:t>
            </w:r>
          </w:p>
        </w:tc>
        <w:tc>
          <w:tcPr>
            <w:tcW w:w="2268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D07AF4" w:rsidRDefault="00C00247" w:rsidP="00807FCB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2" w:type="dxa"/>
            <w:vAlign w:val="center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850" w:type="dxa"/>
          </w:tcPr>
          <w:p w:rsidR="00C00247" w:rsidRPr="00D07AF4" w:rsidRDefault="00C00247" w:rsidP="00606C52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530D2E" w:rsidRDefault="00530D2E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  <w:lang w:val="hu"/>
        </w:rPr>
        <w:t>* Kizárólag a legalább 75 átlagos pontszámú ajánlatok értékelendők a pénzügyi kiértékelésben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0D7F28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 w:cs="Open Sans"/>
          <w:sz w:val="20"/>
          <w:highlight w:val="lightGray"/>
          <w:lang w:val="hu"/>
        </w:rPr>
        <w:t xml:space="preserve">Az ajánlatkérő a következő okokból kizárja </w:t>
      </w:r>
      <w:proofErr w:type="gramStart"/>
      <w:r>
        <w:rPr>
          <w:rFonts w:ascii="Open Sans" w:hAnsi="Open Sans" w:cs="Open Sans"/>
          <w:sz w:val="20"/>
          <w:highlight w:val="lightGray"/>
          <w:lang w:val="hu"/>
        </w:rPr>
        <w:t>a(</w:t>
      </w:r>
      <w:proofErr w:type="gramEnd"/>
      <w:r>
        <w:rPr>
          <w:rFonts w:ascii="Open Sans" w:hAnsi="Open Sans" w:cs="Open Sans"/>
          <w:sz w:val="20"/>
          <w:highlight w:val="lightGray"/>
          <w:lang w:val="hu"/>
        </w:rPr>
        <w:t xml:space="preserve">z) x. </w:t>
      </w:r>
      <w:proofErr w:type="gramStart"/>
      <w:r>
        <w:rPr>
          <w:rFonts w:ascii="Open Sans" w:hAnsi="Open Sans" w:cs="Open Sans"/>
          <w:sz w:val="20"/>
          <w:highlight w:val="lightGray"/>
          <w:lang w:val="hu"/>
        </w:rPr>
        <w:t>számú</w:t>
      </w:r>
      <w:proofErr w:type="gramEnd"/>
      <w:r>
        <w:rPr>
          <w:rFonts w:ascii="Open Sans" w:hAnsi="Open Sans" w:cs="Open Sans"/>
          <w:sz w:val="20"/>
          <w:highlight w:val="lightGray"/>
          <w:lang w:val="hu"/>
        </w:rPr>
        <w:t xml:space="preserve"> ajánlatot az értékelésből:</w:t>
      </w:r>
      <w:r>
        <w:rPr>
          <w:rStyle w:val="Lbjegyzet-hivatkozs"/>
          <w:rFonts w:ascii="Open Sans" w:hAnsi="Open Sans" w:cs="Open Sans"/>
          <w:sz w:val="20"/>
          <w:highlight w:val="lightGray"/>
          <w:lang w:val="hu"/>
        </w:rPr>
        <w:footnoteReference w:id="2"/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highlight w:val="lightGray"/>
          <w:lang w:val="hu"/>
        </w:rPr>
        <w:t>…</w:t>
      </w:r>
    </w:p>
    <w:p w:rsidR="000D7F28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DB3BD8" w:rsidRPr="00D07AF4" w:rsidRDefault="00DB3BD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 xml:space="preserve">A nyertes ajánlat </w:t>
      </w:r>
      <w:proofErr w:type="gramStart"/>
      <w:r>
        <w:rPr>
          <w:rFonts w:ascii="Open Sans" w:hAnsi="Open Sans" w:cs="Open Sans"/>
          <w:sz w:val="20"/>
          <w:lang w:val="hu"/>
        </w:rPr>
        <w:t>a(</w:t>
      </w:r>
      <w:proofErr w:type="gramEnd"/>
      <w:r>
        <w:rPr>
          <w:rFonts w:ascii="Open Sans" w:hAnsi="Open Sans" w:cs="Open Sans"/>
          <w:sz w:val="20"/>
          <w:lang w:val="hu"/>
        </w:rPr>
        <w:t xml:space="preserve">z) </w:t>
      </w:r>
      <w:r>
        <w:rPr>
          <w:rFonts w:ascii="Open Sans" w:hAnsi="Open Sans" w:cs="Open Sans"/>
          <w:b/>
          <w:bCs/>
          <w:snapToGrid/>
          <w:sz w:val="20"/>
          <w:highlight w:val="lightGray"/>
          <w:lang w:val="hu"/>
        </w:rPr>
        <w:t>[ajánlattevő neve]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összeg</w:t>
      </w:r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euró</w:t>
      </w:r>
      <w:r>
        <w:rPr>
          <w:rFonts w:ascii="Open Sans" w:hAnsi="Open Sans" w:cs="Open Sans"/>
          <w:sz w:val="20"/>
          <w:highlight w:val="lightGray"/>
          <w:lang w:val="hu"/>
        </w:rPr>
        <w:t>] / 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nemzeti pénznem</w:t>
      </w:r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összegű ajánlata.</w:t>
      </w:r>
    </w:p>
    <w:p w:rsidR="000D7F28" w:rsidRPr="00D07AF4" w:rsidRDefault="000D7F2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proofErr w:type="gramStart"/>
            <w:r>
              <w:rPr>
                <w:rFonts w:ascii="Open Sans" w:hAnsi="Open Sans" w:cs="Open Sans"/>
                <w:sz w:val="20"/>
                <w:lang w:val="hu"/>
              </w:rPr>
              <w:t>Értékelő(</w:t>
            </w:r>
            <w:proofErr w:type="gramEnd"/>
            <w:r>
              <w:rPr>
                <w:rFonts w:ascii="Open Sans" w:hAnsi="Open Sans" w:cs="Open Sans"/>
                <w:sz w:val="20"/>
                <w:lang w:val="hu"/>
              </w:rPr>
              <w:t>k)</w:t>
            </w:r>
            <w:r>
              <w:rPr>
                <w:rStyle w:val="Lbjegyzet-hivatkozs"/>
                <w:rFonts w:ascii="Open Sans" w:hAnsi="Open Sans" w:cs="Open Sans"/>
                <w:sz w:val="20"/>
                <w:lang w:val="hu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  <w:lang w:val="hu"/>
              </w:rPr>
              <w:t>Aláírás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8125D5" w:rsidRDefault="000D7F28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  <w:r>
        <w:rPr>
          <w:rFonts w:ascii="Open Sans" w:hAnsi="Open Sans" w:cs="Open Sans"/>
          <w:sz w:val="20"/>
          <w:lang w:val="hu"/>
        </w:rPr>
        <w:br w:type="page"/>
      </w:r>
      <w:r>
        <w:rPr>
          <w:rFonts w:ascii="Open Sans" w:hAnsi="Open Sans" w:cs="Open Sans"/>
          <w:b/>
          <w:bCs/>
          <w:i/>
          <w:iCs/>
          <w:sz w:val="20"/>
          <w:lang w:val="hu"/>
        </w:rPr>
        <w:lastRenderedPageBreak/>
        <w:t>Útmutató és példa a „legjobb ár-érték a</w:t>
      </w:r>
      <w:r w:rsidR="008F349D">
        <w:rPr>
          <w:rFonts w:ascii="Open Sans" w:hAnsi="Open Sans" w:cs="Open Sans"/>
          <w:b/>
          <w:bCs/>
          <w:i/>
          <w:iCs/>
          <w:sz w:val="20"/>
          <w:lang w:val="hu"/>
        </w:rPr>
        <w:t>rány” elve szerinti pontozáshoz</w:t>
      </w:r>
    </w:p>
    <w:p w:rsidR="00B5002E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530D2E" w:rsidRPr="00E40223" w:rsidRDefault="00E40223" w:rsidP="000D7F28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>
        <w:rPr>
          <w:rFonts w:ascii="Open Sans" w:hAnsi="Open Sans" w:cs="Open Sans"/>
          <w:b/>
          <w:bCs/>
          <w:sz w:val="16"/>
          <w:szCs w:val="16"/>
          <w:u w:val="single"/>
          <w:lang w:val="hu"/>
        </w:rPr>
        <w:t>Szakmai pontszám</w:t>
      </w:r>
    </w:p>
    <w:p w:rsidR="00E40223" w:rsidRDefault="00E40223" w:rsidP="000D7F28">
      <w:pPr>
        <w:keepNext/>
        <w:ind w:right="-755"/>
        <w:jc w:val="both"/>
        <w:rPr>
          <w:rFonts w:ascii="Open Sans" w:hAnsi="Open Sans" w:cs="Open Sans"/>
          <w:sz w:val="16"/>
          <w:szCs w:val="16"/>
        </w:rPr>
      </w:pPr>
    </w:p>
    <w:p w:rsidR="00530D2E" w:rsidRPr="002842AB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hu"/>
        </w:rPr>
      </w:pPr>
      <w:r>
        <w:rPr>
          <w:rFonts w:ascii="Open Sans" w:hAnsi="Open Sans" w:cs="Open Sans"/>
          <w:sz w:val="16"/>
          <w:szCs w:val="16"/>
          <w:lang w:val="hu"/>
        </w:rPr>
        <w:t>Miután az értékelő bizottság megállapította az egyes szakmai ajánlatok átlagpontszámát (az egyes szavazó tagok által megítélt végső pontszámok matematikai átlagát), automatikusan visszautasítja a 75 pontszám</w:t>
      </w:r>
      <w:r w:rsidR="00213552">
        <w:rPr>
          <w:rFonts w:ascii="Open Sans" w:hAnsi="Open Sans" w:cs="Open Sans"/>
          <w:sz w:val="16"/>
          <w:szCs w:val="16"/>
          <w:lang w:val="hu"/>
        </w:rPr>
        <w:t>ot</w:t>
      </w:r>
      <w:r>
        <w:rPr>
          <w:rFonts w:ascii="Open Sans" w:hAnsi="Open Sans" w:cs="Open Sans"/>
          <w:sz w:val="16"/>
          <w:szCs w:val="16"/>
          <w:lang w:val="hu"/>
        </w:rPr>
        <w:t xml:space="preserve"> el nem érő összes ajánlatot. </w:t>
      </w:r>
      <w:r w:rsidR="002842AB" w:rsidRPr="002842AB">
        <w:rPr>
          <w:rFonts w:ascii="Open Sans" w:hAnsi="Open Sans" w:cs="Open Sans"/>
          <w:i/>
          <w:sz w:val="16"/>
          <w:szCs w:val="16"/>
          <w:lang w:val="hu"/>
        </w:rPr>
        <w:t>Felhívjuk a figyelmet, hogy értékelő bizottság kialakítása nem kötelező. Az értékelés</w:t>
      </w:r>
      <w:r w:rsidR="002842AB">
        <w:rPr>
          <w:rFonts w:ascii="Open Sans" w:hAnsi="Open Sans" w:cs="Open Sans"/>
          <w:i/>
          <w:sz w:val="16"/>
          <w:szCs w:val="16"/>
          <w:lang w:val="hu"/>
        </w:rPr>
        <w:t>t</w:t>
      </w:r>
      <w:r w:rsidR="002842AB" w:rsidRPr="002842AB">
        <w:rPr>
          <w:rFonts w:ascii="Open Sans" w:hAnsi="Open Sans" w:cs="Open Sans"/>
          <w:i/>
          <w:sz w:val="16"/>
          <w:szCs w:val="16"/>
          <w:lang w:val="hu"/>
        </w:rPr>
        <w:t xml:space="preserve"> akár egyetlen </w:t>
      </w:r>
      <w:r w:rsidR="002842AB">
        <w:rPr>
          <w:rFonts w:ascii="Open Sans" w:hAnsi="Open Sans" w:cs="Open Sans"/>
          <w:i/>
          <w:sz w:val="16"/>
          <w:szCs w:val="16"/>
          <w:lang w:val="hu"/>
        </w:rPr>
        <w:t>értékelő</w:t>
      </w:r>
      <w:r w:rsidR="002842AB" w:rsidRPr="002842AB">
        <w:rPr>
          <w:rFonts w:ascii="Open Sans" w:hAnsi="Open Sans" w:cs="Open Sans"/>
          <w:i/>
          <w:sz w:val="16"/>
          <w:szCs w:val="16"/>
          <w:lang w:val="hu"/>
        </w:rPr>
        <w:t xml:space="preserve"> önállóan is végezheti.</w:t>
      </w:r>
    </w:p>
    <w:p w:rsidR="00530D2E" w:rsidRPr="00FE16FF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hu"/>
        </w:rPr>
      </w:pPr>
      <w:r>
        <w:rPr>
          <w:rFonts w:ascii="Open Sans" w:hAnsi="Open Sans" w:cs="Open Sans"/>
          <w:sz w:val="16"/>
          <w:szCs w:val="16"/>
          <w:lang w:val="hu"/>
        </w:rPr>
        <w:t>Amennyiben egyik ajánlat sem éri el vagy haladja meg a 75 pontot, úgy az ajánlati eljárás</w:t>
      </w:r>
      <w:r w:rsidR="00213552">
        <w:rPr>
          <w:rFonts w:ascii="Open Sans" w:hAnsi="Open Sans" w:cs="Open Sans"/>
          <w:sz w:val="16"/>
          <w:szCs w:val="16"/>
          <w:lang w:val="hu"/>
        </w:rPr>
        <w:t>t törölni kell</w:t>
      </w:r>
      <w:r>
        <w:rPr>
          <w:rFonts w:ascii="Open Sans" w:hAnsi="Open Sans" w:cs="Open Sans"/>
          <w:sz w:val="16"/>
          <w:szCs w:val="16"/>
          <w:lang w:val="hu"/>
        </w:rPr>
        <w:t xml:space="preserve">. </w:t>
      </w:r>
    </w:p>
    <w:p w:rsidR="00530D2E" w:rsidRPr="00FE16FF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hu"/>
        </w:rPr>
      </w:pPr>
      <w:r>
        <w:rPr>
          <w:rFonts w:ascii="Open Sans" w:hAnsi="Open Sans" w:cs="Open Sans"/>
          <w:sz w:val="16"/>
          <w:szCs w:val="16"/>
          <w:lang w:val="hu"/>
        </w:rPr>
        <w:t xml:space="preserve">A 75 pontos küszöböt elérő ajánlatok közül a legjobb szakmai ajánlat 100 pontot kap. </w:t>
      </w:r>
    </w:p>
    <w:p w:rsidR="00530D2E" w:rsidRPr="00FE16FF" w:rsidRDefault="00530D2E" w:rsidP="00530D2E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  <w:lang w:val="hu"/>
        </w:rPr>
      </w:pPr>
      <w:r>
        <w:rPr>
          <w:rFonts w:ascii="Open Sans" w:hAnsi="Open Sans" w:cs="Open Sans"/>
          <w:sz w:val="16"/>
          <w:szCs w:val="16"/>
          <w:lang w:val="hu"/>
        </w:rPr>
        <w:t>A többi</w:t>
      </w:r>
      <w:r w:rsidR="00213552">
        <w:rPr>
          <w:rFonts w:ascii="Open Sans" w:hAnsi="Open Sans" w:cs="Open Sans"/>
          <w:sz w:val="16"/>
          <w:szCs w:val="16"/>
          <w:lang w:val="hu"/>
        </w:rPr>
        <w:t xml:space="preserve"> ajánlat végleges szakmai</w:t>
      </w:r>
      <w:r>
        <w:rPr>
          <w:rFonts w:ascii="Open Sans" w:hAnsi="Open Sans" w:cs="Open Sans"/>
          <w:sz w:val="16"/>
          <w:szCs w:val="16"/>
          <w:lang w:val="hu"/>
        </w:rPr>
        <w:t xml:space="preserve"> pontszáma a következő képlettel számítandó: </w:t>
      </w:r>
    </w:p>
    <w:p w:rsidR="00530D2E" w:rsidRPr="00FE16FF" w:rsidRDefault="00530D2E" w:rsidP="00530D2E">
      <w:pPr>
        <w:pStyle w:val="Listaszerbekezds"/>
        <w:rPr>
          <w:rFonts w:ascii="Open Sans" w:hAnsi="Open Sans" w:cs="Open Sans"/>
          <w:sz w:val="16"/>
          <w:szCs w:val="16"/>
          <w:lang w:val="hu"/>
        </w:rPr>
      </w:pPr>
    </w:p>
    <w:p w:rsidR="00530D2E" w:rsidRPr="00FE16FF" w:rsidRDefault="00213552" w:rsidP="00530D2E">
      <w:pPr>
        <w:keepNext/>
        <w:ind w:left="720" w:right="-755"/>
        <w:jc w:val="both"/>
        <w:rPr>
          <w:rFonts w:ascii="Open Sans" w:hAnsi="Open Sans" w:cs="Open Sans"/>
          <w:i/>
          <w:sz w:val="16"/>
          <w:szCs w:val="16"/>
          <w:lang w:val="hu"/>
        </w:rPr>
      </w:pPr>
      <w:r>
        <w:rPr>
          <w:rFonts w:ascii="Open Sans" w:hAnsi="Open Sans" w:cs="Open Sans"/>
          <w:i/>
          <w:iCs/>
          <w:sz w:val="16"/>
          <w:szCs w:val="16"/>
          <w:lang w:val="hu"/>
        </w:rPr>
        <w:t>Végleges s</w:t>
      </w:r>
      <w:r w:rsidR="00530D2E">
        <w:rPr>
          <w:rFonts w:ascii="Open Sans" w:hAnsi="Open Sans" w:cs="Open Sans"/>
          <w:i/>
          <w:iCs/>
          <w:sz w:val="16"/>
          <w:szCs w:val="16"/>
          <w:lang w:val="hu"/>
        </w:rPr>
        <w:t xml:space="preserve">zakmai pontszám = (a kérdéses szakmai ajánlat </w:t>
      </w:r>
      <w:r>
        <w:rPr>
          <w:rFonts w:ascii="Open Sans" w:hAnsi="Open Sans" w:cs="Open Sans"/>
          <w:i/>
          <w:iCs/>
          <w:sz w:val="16"/>
          <w:szCs w:val="16"/>
          <w:lang w:val="hu"/>
        </w:rPr>
        <w:t>átlag</w:t>
      </w:r>
      <w:r w:rsidR="00530D2E">
        <w:rPr>
          <w:rFonts w:ascii="Open Sans" w:hAnsi="Open Sans" w:cs="Open Sans"/>
          <w:i/>
          <w:iCs/>
          <w:sz w:val="16"/>
          <w:szCs w:val="16"/>
          <w:lang w:val="hu"/>
        </w:rPr>
        <w:t xml:space="preserve">pontszáma/a legjobb szakmai ajánlat </w:t>
      </w:r>
      <w:r>
        <w:rPr>
          <w:rFonts w:ascii="Open Sans" w:hAnsi="Open Sans" w:cs="Open Sans"/>
          <w:i/>
          <w:iCs/>
          <w:sz w:val="16"/>
          <w:szCs w:val="16"/>
          <w:lang w:val="hu"/>
        </w:rPr>
        <w:t xml:space="preserve">átlag </w:t>
      </w:r>
      <w:r w:rsidR="00530D2E">
        <w:rPr>
          <w:rFonts w:ascii="Open Sans" w:hAnsi="Open Sans" w:cs="Open Sans"/>
          <w:i/>
          <w:iCs/>
          <w:sz w:val="16"/>
          <w:szCs w:val="16"/>
          <w:lang w:val="hu"/>
        </w:rPr>
        <w:t>pontszáma) x 100.</w:t>
      </w:r>
    </w:p>
    <w:p w:rsidR="00B5002E" w:rsidRPr="00FE16FF" w:rsidRDefault="00B5002E" w:rsidP="004669A3">
      <w:pPr>
        <w:ind w:right="679"/>
        <w:jc w:val="both"/>
        <w:rPr>
          <w:rFonts w:ascii="Open Sans" w:hAnsi="Open Sans" w:cs="Open Sans"/>
          <w:b/>
          <w:i/>
          <w:sz w:val="20"/>
          <w:lang w:val="hu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551"/>
        <w:gridCol w:w="1322"/>
        <w:gridCol w:w="1418"/>
        <w:gridCol w:w="1645"/>
        <w:gridCol w:w="1418"/>
      </w:tblGrid>
      <w:tr w:rsidR="00530D2E" w:rsidRPr="00530D2E" w:rsidTr="00E40223">
        <w:tc>
          <w:tcPr>
            <w:tcW w:w="2551" w:type="dxa"/>
          </w:tcPr>
          <w:p w:rsidR="00530D2E" w:rsidRPr="00FE16FF" w:rsidRDefault="00530D2E" w:rsidP="004669A3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  <w:lang w:val="hu"/>
              </w:rPr>
            </w:pP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Maximálisan elérhető pontszám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1. ajánlattevő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2. ajánlattevő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3. ajánlattevő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A. értékelő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55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88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84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B. értékelő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60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84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82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C. értékelő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59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82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90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Összesen</w:t>
            </w:r>
          </w:p>
        </w:tc>
        <w:tc>
          <w:tcPr>
            <w:tcW w:w="1134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300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174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254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256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530D2E" w:rsidP="00530D2E">
            <w:pPr>
              <w:ind w:right="57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Átlagpontszám (matematikai átlag)</w:t>
            </w:r>
          </w:p>
        </w:tc>
        <w:tc>
          <w:tcPr>
            <w:tcW w:w="1134" w:type="dxa"/>
            <w:vAlign w:val="center"/>
          </w:tcPr>
          <w:p w:rsidR="00530D2E" w:rsidRPr="00530D2E" w:rsidRDefault="00E40223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-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174/3 = 58,00</w:t>
            </w:r>
          </w:p>
        </w:tc>
        <w:tc>
          <w:tcPr>
            <w:tcW w:w="1645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254/3=84,67</w:t>
            </w:r>
          </w:p>
        </w:tc>
        <w:tc>
          <w:tcPr>
            <w:tcW w:w="1418" w:type="dxa"/>
            <w:vAlign w:val="center"/>
          </w:tcPr>
          <w:p w:rsidR="00530D2E" w:rsidRPr="00530D2E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256/3=85,33</w:t>
            </w:r>
          </w:p>
        </w:tc>
      </w:tr>
      <w:tr w:rsidR="00530D2E" w:rsidRPr="00530D2E" w:rsidTr="00E40223">
        <w:tc>
          <w:tcPr>
            <w:tcW w:w="2551" w:type="dxa"/>
          </w:tcPr>
          <w:p w:rsidR="00530D2E" w:rsidRPr="00530D2E" w:rsidRDefault="00213552" w:rsidP="00213552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Végleges s</w:t>
            </w:r>
            <w:r w:rsidR="00530D2E">
              <w:rPr>
                <w:rFonts w:ascii="Open Sans" w:hAnsi="Open Sans" w:cs="Open Sans"/>
                <w:sz w:val="18"/>
                <w:szCs w:val="18"/>
                <w:lang w:val="hu"/>
              </w:rPr>
              <w:t>zakmai pontszám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>=</w:t>
            </w:r>
            <w:r w:rsidR="00530D2E"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 (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átlagpontszám </w:t>
            </w:r>
            <w:r w:rsidR="00530D2E"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pontszám/legnagyobb 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>átlag</w:t>
            </w:r>
          </w:p>
          <w:p w:rsidR="00530D2E" w:rsidRPr="00530D2E" w:rsidRDefault="00530D2E" w:rsidP="00530D2E">
            <w:pPr>
              <w:tabs>
                <w:tab w:val="left" w:pos="1560"/>
              </w:tabs>
              <w:ind w:right="115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pontszám)</w:t>
            </w:r>
            <w:r w:rsidR="00213552">
              <w:rPr>
                <w:rFonts w:ascii="Open Sans" w:hAnsi="Open Sans" w:cs="Open Sans"/>
                <w:sz w:val="18"/>
                <w:szCs w:val="18"/>
                <w:lang w:val="hu"/>
              </w:rPr>
              <w:t>*100</w:t>
            </w:r>
          </w:p>
        </w:tc>
        <w:tc>
          <w:tcPr>
            <w:tcW w:w="1134" w:type="dxa"/>
            <w:vAlign w:val="center"/>
          </w:tcPr>
          <w:p w:rsidR="00530D2E" w:rsidRPr="00530D2E" w:rsidRDefault="00E40223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-</w:t>
            </w:r>
          </w:p>
        </w:tc>
        <w:tc>
          <w:tcPr>
            <w:tcW w:w="1418" w:type="dxa"/>
            <w:vAlign w:val="center"/>
          </w:tcPr>
          <w:p w:rsidR="00530D2E" w:rsidRPr="00E40223" w:rsidRDefault="00530D2E" w:rsidP="00530D2E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Kizárva</w:t>
            </w:r>
          </w:p>
        </w:tc>
        <w:tc>
          <w:tcPr>
            <w:tcW w:w="1645" w:type="dxa"/>
            <w:vAlign w:val="center"/>
          </w:tcPr>
          <w:p w:rsidR="00E40223" w:rsidRDefault="00530D2E" w:rsidP="00530D2E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84,67/85,33x100</w:t>
            </w:r>
          </w:p>
          <w:p w:rsidR="00530D2E" w:rsidRPr="00530D2E" w:rsidRDefault="00E40223" w:rsidP="002842A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=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9</w:t>
            </w:r>
            <w:r w:rsidR="002842AB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9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,22</w:t>
            </w:r>
          </w:p>
        </w:tc>
        <w:tc>
          <w:tcPr>
            <w:tcW w:w="1418" w:type="dxa"/>
            <w:vAlign w:val="center"/>
          </w:tcPr>
          <w:p w:rsidR="00530D2E" w:rsidRPr="00E40223" w:rsidRDefault="00530D2E" w:rsidP="00530D2E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100,00</w:t>
            </w:r>
          </w:p>
        </w:tc>
      </w:tr>
    </w:tbl>
    <w:p w:rsidR="00530D2E" w:rsidRDefault="00530D2E" w:rsidP="004669A3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p w:rsidR="00E40223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>
        <w:rPr>
          <w:rFonts w:ascii="Open Sans" w:hAnsi="Open Sans" w:cs="Open Sans"/>
          <w:b/>
          <w:bCs/>
          <w:sz w:val="16"/>
          <w:szCs w:val="16"/>
          <w:u w:val="single"/>
          <w:lang w:val="hu"/>
        </w:rPr>
        <w:t>Pénzügyi pontszám</w:t>
      </w:r>
    </w:p>
    <w:p w:rsidR="00E40223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p w:rsidR="00E40223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  <w:lang w:val="hu"/>
        </w:rPr>
        <w:t xml:space="preserve">Amennyiben a benyújtott ajánlatok pénzneme eltér az ajánlatkérés 3. pontjában meghatározott maximálisan rendelkezésre álló keret pénznemétől, úgy a rendelkezésre álló keretnek való pénzügyi megfelelés ellenőrzésére használandó árfolyam az </w:t>
      </w:r>
      <w:proofErr w:type="spellStart"/>
      <w:r>
        <w:rPr>
          <w:rFonts w:ascii="Open Sans" w:hAnsi="Open Sans" w:cs="Open Sans"/>
          <w:sz w:val="16"/>
          <w:szCs w:val="16"/>
          <w:lang w:val="hu"/>
        </w:rPr>
        <w:t>InforEuro</w:t>
      </w:r>
      <w:proofErr w:type="spellEnd"/>
      <w:r>
        <w:rPr>
          <w:rFonts w:ascii="Open Sans" w:hAnsi="Open Sans" w:cs="Open Sans"/>
          <w:sz w:val="16"/>
          <w:szCs w:val="16"/>
          <w:lang w:val="hu"/>
        </w:rPr>
        <w:t xml:space="preserve"> ajánlatindítási hónapra érvényes árfolyama.</w:t>
      </w:r>
    </w:p>
    <w:p w:rsidR="00E40223" w:rsidRDefault="00E40223" w:rsidP="00E40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  <w:lang w:val="hu"/>
        </w:rPr>
        <w:t>A legalacsonyabb pénzügyi ajánlatot tartalmazó ajánlat 100 pontot kap. A többi pontszáma a következő képlettel számítandó:</w:t>
      </w:r>
    </w:p>
    <w:p w:rsidR="00E40223" w:rsidRDefault="00E40223" w:rsidP="00E40223">
      <w:pPr>
        <w:pStyle w:val="Listaszerbekezds"/>
        <w:rPr>
          <w:rFonts w:ascii="Open Sans" w:hAnsi="Open Sans" w:cs="Open Sans"/>
          <w:sz w:val="16"/>
          <w:szCs w:val="16"/>
        </w:rPr>
      </w:pPr>
    </w:p>
    <w:p w:rsidR="00E40223" w:rsidRDefault="00E40223" w:rsidP="00E40223">
      <w:pPr>
        <w:keepNext/>
        <w:ind w:left="709" w:right="-755"/>
        <w:jc w:val="both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i/>
          <w:iCs/>
          <w:sz w:val="16"/>
          <w:szCs w:val="16"/>
          <w:lang w:val="hu"/>
        </w:rPr>
        <w:t>Pénzügyi pontszám = (legalacsonyabb pénzügyi ajánlat / a vizsgált ajánlat pénzügyi ajánlata) x 100.</w:t>
      </w:r>
    </w:p>
    <w:p w:rsidR="00E40223" w:rsidRPr="00E40223" w:rsidRDefault="00E40223" w:rsidP="00E40223">
      <w:pPr>
        <w:keepNext/>
        <w:ind w:right="-755"/>
        <w:jc w:val="both"/>
        <w:rPr>
          <w:rFonts w:ascii="Open Sans" w:hAnsi="Open Sans" w:cs="Open Sans"/>
          <w:i/>
          <w:sz w:val="16"/>
          <w:szCs w:val="16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551"/>
        <w:gridCol w:w="1418"/>
        <w:gridCol w:w="1843"/>
        <w:gridCol w:w="1843"/>
      </w:tblGrid>
      <w:tr w:rsidR="00E40223" w:rsidRPr="00530D2E" w:rsidTr="00D61CEB">
        <w:tc>
          <w:tcPr>
            <w:tcW w:w="2551" w:type="dxa"/>
          </w:tcPr>
          <w:p w:rsidR="00E40223" w:rsidRPr="00530D2E" w:rsidRDefault="00E40223" w:rsidP="00325CFB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40223" w:rsidRPr="00530D2E" w:rsidRDefault="00E40223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1. ajánlattevő</w:t>
            </w:r>
          </w:p>
        </w:tc>
        <w:tc>
          <w:tcPr>
            <w:tcW w:w="1843" w:type="dxa"/>
            <w:vAlign w:val="center"/>
          </w:tcPr>
          <w:p w:rsidR="00E40223" w:rsidRPr="00530D2E" w:rsidRDefault="00E40223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2. ajánlattevő</w:t>
            </w:r>
          </w:p>
        </w:tc>
        <w:tc>
          <w:tcPr>
            <w:tcW w:w="1843" w:type="dxa"/>
            <w:vAlign w:val="center"/>
          </w:tcPr>
          <w:p w:rsidR="00E40223" w:rsidRPr="00530D2E" w:rsidRDefault="00E40223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3. ajánlattevő</w:t>
            </w:r>
          </w:p>
        </w:tc>
      </w:tr>
      <w:tr w:rsidR="00D61CEB" w:rsidRPr="00530D2E" w:rsidTr="00D61CEB">
        <w:tc>
          <w:tcPr>
            <w:tcW w:w="2551" w:type="dxa"/>
          </w:tcPr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Pénzügyi ajánlat</w:t>
            </w:r>
          </w:p>
        </w:tc>
        <w:tc>
          <w:tcPr>
            <w:tcW w:w="1418" w:type="dxa"/>
            <w:vMerge w:val="restart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A szakmai értékelésben kizárva</w:t>
            </w:r>
          </w:p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4 000 euró</w:t>
            </w:r>
          </w:p>
        </w:tc>
        <w:tc>
          <w:tcPr>
            <w:tcW w:w="1843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4 800 euró</w:t>
            </w:r>
          </w:p>
        </w:tc>
      </w:tr>
      <w:tr w:rsidR="00D61CEB" w:rsidRPr="00530D2E" w:rsidTr="00D61CEB">
        <w:tc>
          <w:tcPr>
            <w:tcW w:w="2551" w:type="dxa"/>
          </w:tcPr>
          <w:p w:rsidR="00D61CEB" w:rsidRPr="00E40223" w:rsidRDefault="00D61CEB" w:rsidP="00E40223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Pénzügyi pontszám</w:t>
            </w:r>
          </w:p>
          <w:p w:rsidR="00D61CEB" w:rsidRPr="00E40223" w:rsidRDefault="00D61CEB" w:rsidP="00E40223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  <w:lang w:val="hu"/>
              </w:rPr>
              <w:t>legalacsonyabb pénzügyi ajánlat / vizsgált pénzügyi ajánlat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 x 100)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100,00</w:t>
            </w:r>
          </w:p>
        </w:tc>
        <w:tc>
          <w:tcPr>
            <w:tcW w:w="1843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4 000/4 800 = 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83,33</w:t>
            </w:r>
          </w:p>
        </w:tc>
      </w:tr>
    </w:tbl>
    <w:p w:rsidR="00E40223" w:rsidRDefault="00E40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p w:rsidR="00D61CEB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  <w:r>
        <w:rPr>
          <w:rFonts w:ascii="Open Sans" w:hAnsi="Open Sans" w:cs="Open Sans"/>
          <w:b/>
          <w:bCs/>
          <w:sz w:val="16"/>
          <w:szCs w:val="16"/>
          <w:u w:val="single"/>
          <w:lang w:val="hu"/>
        </w:rPr>
        <w:t>Végleges rangsor</w:t>
      </w:r>
    </w:p>
    <w:p w:rsidR="00F41223" w:rsidRDefault="00F41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p w:rsidR="00F41223" w:rsidRPr="00F41223" w:rsidRDefault="00F41223" w:rsidP="00F41223">
      <w:pPr>
        <w:keepNext/>
        <w:numPr>
          <w:ilvl w:val="0"/>
          <w:numId w:val="35"/>
        </w:numPr>
        <w:ind w:right="-755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  <w:lang w:val="hu"/>
        </w:rPr>
        <w:t>Az ajánlatkérő a szakmai ajánlatot 80 százalékos súllyal, a pénzügyi ajánlatot pedig 20 százalékos súllyal veszi figyelembe az értékeléskor.</w:t>
      </w:r>
    </w:p>
    <w:p w:rsidR="00F41223" w:rsidRDefault="00F41223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tbl>
      <w:tblPr>
        <w:tblStyle w:val="Rcsostblzat"/>
        <w:tblW w:w="0" w:type="auto"/>
        <w:tblInd w:w="817" w:type="dxa"/>
        <w:tblLook w:val="04A0" w:firstRow="1" w:lastRow="0" w:firstColumn="1" w:lastColumn="0" w:noHBand="0" w:noVBand="1"/>
      </w:tblPr>
      <w:tblGrid>
        <w:gridCol w:w="2551"/>
        <w:gridCol w:w="1418"/>
        <w:gridCol w:w="1829"/>
        <w:gridCol w:w="1829"/>
      </w:tblGrid>
      <w:tr w:rsidR="00D61CEB" w:rsidRPr="00530D2E" w:rsidTr="008F349D">
        <w:tc>
          <w:tcPr>
            <w:tcW w:w="2551" w:type="dxa"/>
          </w:tcPr>
          <w:p w:rsidR="00D61CEB" w:rsidRPr="00530D2E" w:rsidRDefault="00D61CEB" w:rsidP="00325CFB">
            <w:pPr>
              <w:ind w:right="679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1. ajánlattevő</w:t>
            </w:r>
          </w:p>
        </w:tc>
        <w:tc>
          <w:tcPr>
            <w:tcW w:w="1829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2. ajánlattevő</w:t>
            </w:r>
          </w:p>
        </w:tc>
        <w:tc>
          <w:tcPr>
            <w:tcW w:w="1829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3. ajánlattevő</w:t>
            </w:r>
          </w:p>
        </w:tc>
      </w:tr>
      <w:tr w:rsidR="00D61CEB" w:rsidRPr="00530D2E" w:rsidTr="008F349D">
        <w:tc>
          <w:tcPr>
            <w:tcW w:w="2551" w:type="dxa"/>
          </w:tcPr>
          <w:p w:rsidR="00D61CEB" w:rsidRDefault="00213552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Végleges s</w:t>
            </w:r>
            <w:r w:rsidR="00D61CEB"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zakmai pontszám </w:t>
            </w:r>
          </w:p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x 0,80</w:t>
            </w:r>
          </w:p>
        </w:tc>
        <w:tc>
          <w:tcPr>
            <w:tcW w:w="1418" w:type="dxa"/>
            <w:vMerge w:val="restart"/>
            <w:vAlign w:val="center"/>
          </w:tcPr>
          <w:p w:rsidR="00D61CEB" w:rsidRPr="00530D2E" w:rsidRDefault="00D61CEB" w:rsidP="00D61CE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A szakmai értékelésben kizárva</w:t>
            </w:r>
          </w:p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29" w:type="dxa"/>
            <w:vAlign w:val="center"/>
          </w:tcPr>
          <w:p w:rsidR="00D61CEB" w:rsidRPr="00530D2E" w:rsidRDefault="00D61CEB" w:rsidP="00FE16FF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9</w:t>
            </w:r>
            <w:r w:rsidR="002842AB">
              <w:rPr>
                <w:rFonts w:ascii="Open Sans" w:hAnsi="Open Sans" w:cs="Open Sans"/>
                <w:sz w:val="18"/>
                <w:szCs w:val="18"/>
                <w:lang w:val="hu"/>
              </w:rPr>
              <w:t>9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>,22x0,80=7</w:t>
            </w:r>
            <w:r w:rsidR="00FE16FF">
              <w:rPr>
                <w:rFonts w:ascii="Open Sans" w:hAnsi="Open Sans" w:cs="Open Sans"/>
                <w:sz w:val="18"/>
                <w:szCs w:val="18"/>
                <w:lang w:val="hu"/>
              </w:rPr>
              <w:t>9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>,</w:t>
            </w:r>
            <w:r w:rsidR="00FE16FF">
              <w:rPr>
                <w:rFonts w:ascii="Open Sans" w:hAnsi="Open Sans" w:cs="Open Sans"/>
                <w:sz w:val="18"/>
                <w:szCs w:val="18"/>
                <w:lang w:val="hu"/>
              </w:rPr>
              <w:t>3</w:t>
            </w:r>
            <w:r>
              <w:rPr>
                <w:rFonts w:ascii="Open Sans" w:hAnsi="Open Sans" w:cs="Open Sans"/>
                <w:sz w:val="18"/>
                <w:szCs w:val="18"/>
                <w:lang w:val="hu"/>
              </w:rPr>
              <w:t>7</w:t>
            </w:r>
          </w:p>
        </w:tc>
        <w:tc>
          <w:tcPr>
            <w:tcW w:w="1829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100,00x0,80=</w:t>
            </w:r>
            <w:proofErr w:type="spellStart"/>
            <w:r>
              <w:rPr>
                <w:rFonts w:ascii="Open Sans" w:hAnsi="Open Sans" w:cs="Open Sans"/>
                <w:sz w:val="18"/>
                <w:szCs w:val="18"/>
                <w:lang w:val="hu"/>
              </w:rPr>
              <w:t>80</w:t>
            </w:r>
            <w:proofErr w:type="spellEnd"/>
            <w:r>
              <w:rPr>
                <w:rFonts w:ascii="Open Sans" w:hAnsi="Open Sans" w:cs="Open Sans"/>
                <w:sz w:val="18"/>
                <w:szCs w:val="18"/>
                <w:lang w:val="hu"/>
              </w:rPr>
              <w:t>,00</w:t>
            </w:r>
          </w:p>
        </w:tc>
      </w:tr>
      <w:tr w:rsidR="00D61CEB" w:rsidRPr="00530D2E" w:rsidTr="008F349D">
        <w:tc>
          <w:tcPr>
            <w:tcW w:w="2551" w:type="dxa"/>
          </w:tcPr>
          <w:p w:rsidR="00D61CEB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 xml:space="preserve">Pénzügyi pontszám </w:t>
            </w:r>
          </w:p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x 0,20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29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100,00x0,20=</w:t>
            </w:r>
            <w:proofErr w:type="spellStart"/>
            <w:r>
              <w:rPr>
                <w:rFonts w:ascii="Open Sans" w:hAnsi="Open Sans" w:cs="Open Sans"/>
                <w:sz w:val="18"/>
                <w:szCs w:val="18"/>
                <w:lang w:val="hu"/>
              </w:rPr>
              <w:t>20</w:t>
            </w:r>
            <w:proofErr w:type="spellEnd"/>
            <w:r>
              <w:rPr>
                <w:rFonts w:ascii="Open Sans" w:hAnsi="Open Sans" w:cs="Open Sans"/>
                <w:sz w:val="18"/>
                <w:szCs w:val="18"/>
                <w:lang w:val="hu"/>
              </w:rPr>
              <w:t>,00</w:t>
            </w:r>
          </w:p>
        </w:tc>
        <w:tc>
          <w:tcPr>
            <w:tcW w:w="1829" w:type="dxa"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83,33x0,20=16,67</w:t>
            </w:r>
          </w:p>
        </w:tc>
      </w:tr>
      <w:tr w:rsidR="00D61CEB" w:rsidRPr="00530D2E" w:rsidTr="008F349D">
        <w:tc>
          <w:tcPr>
            <w:tcW w:w="2551" w:type="dxa"/>
          </w:tcPr>
          <w:p w:rsidR="00D61CEB" w:rsidRPr="00530D2E" w:rsidRDefault="00D61CEB" w:rsidP="00325CFB">
            <w:pPr>
              <w:ind w:right="57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  <w:lang w:val="hu"/>
              </w:rPr>
              <w:t>Teljes pontszám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29" w:type="dxa"/>
            <w:vAlign w:val="center"/>
          </w:tcPr>
          <w:p w:rsidR="00D61CEB" w:rsidRPr="00D61CEB" w:rsidRDefault="00D61CEB" w:rsidP="002842A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9</w:t>
            </w:r>
            <w:r w:rsidR="002842AB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9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,</w:t>
            </w:r>
            <w:r w:rsidR="002842AB"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3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7</w:t>
            </w:r>
          </w:p>
        </w:tc>
        <w:tc>
          <w:tcPr>
            <w:tcW w:w="1829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96,67</w:t>
            </w:r>
          </w:p>
        </w:tc>
      </w:tr>
      <w:tr w:rsidR="00D61CEB" w:rsidRPr="00530D2E" w:rsidTr="008F349D">
        <w:tc>
          <w:tcPr>
            <w:tcW w:w="2551" w:type="dxa"/>
          </w:tcPr>
          <w:p w:rsidR="00D61CEB" w:rsidRPr="00D61CEB" w:rsidRDefault="00D61CEB" w:rsidP="00325CFB">
            <w:pPr>
              <w:ind w:right="57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Végleges rangsor</w:t>
            </w:r>
          </w:p>
        </w:tc>
        <w:tc>
          <w:tcPr>
            <w:tcW w:w="1418" w:type="dxa"/>
            <w:vMerge/>
            <w:vAlign w:val="center"/>
          </w:tcPr>
          <w:p w:rsidR="00D61CEB" w:rsidRPr="00530D2E" w:rsidRDefault="00D61CEB" w:rsidP="00325CFB">
            <w:pPr>
              <w:ind w:right="48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29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1.</w:t>
            </w:r>
          </w:p>
        </w:tc>
        <w:tc>
          <w:tcPr>
            <w:tcW w:w="1829" w:type="dxa"/>
            <w:vAlign w:val="center"/>
          </w:tcPr>
          <w:p w:rsidR="00D61CEB" w:rsidRPr="00D61CEB" w:rsidRDefault="00D61CEB" w:rsidP="00325CFB">
            <w:pPr>
              <w:ind w:right="48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  <w:lang w:val="hu"/>
              </w:rPr>
              <w:t>2.</w:t>
            </w:r>
          </w:p>
        </w:tc>
      </w:tr>
    </w:tbl>
    <w:p w:rsidR="00D61CEB" w:rsidRPr="00E40223" w:rsidRDefault="00D61CEB" w:rsidP="00E40223">
      <w:pPr>
        <w:keepNext/>
        <w:ind w:right="-755"/>
        <w:jc w:val="both"/>
        <w:rPr>
          <w:rFonts w:ascii="Open Sans" w:hAnsi="Open Sans" w:cs="Open Sans"/>
          <w:b/>
          <w:sz w:val="16"/>
          <w:szCs w:val="16"/>
          <w:u w:val="single"/>
        </w:rPr>
      </w:pPr>
    </w:p>
    <w:sectPr w:rsidR="00D61CEB" w:rsidRPr="00E40223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264" w:rsidRDefault="00411264">
      <w:r>
        <w:separator/>
      </w:r>
    </w:p>
  </w:endnote>
  <w:endnote w:type="continuationSeparator" w:id="0">
    <w:p w:rsidR="00411264" w:rsidRDefault="0041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  <w:lang w:val="hu"/>
      </w:rPr>
      <w:fldChar w:fldCharType="begin"/>
    </w:r>
    <w:r>
      <w:rPr>
        <w:rStyle w:val="Oldalszm"/>
        <w:lang w:val="hu"/>
      </w:rPr>
      <w:instrText xml:space="preserve">PAGE  </w:instrText>
    </w:r>
    <w:r>
      <w:rPr>
        <w:rStyle w:val="Oldalszm"/>
        <w:lang w:val="hu"/>
      </w:rPr>
      <w:fldChar w:fldCharType="separate"/>
    </w:r>
    <w:r>
      <w:rPr>
        <w:rStyle w:val="Oldalszm"/>
        <w:noProof/>
        <w:lang w:val="hu"/>
      </w:rPr>
      <w:t>4</w:t>
    </w:r>
    <w:r>
      <w:rPr>
        <w:rStyle w:val="Oldalszm"/>
        <w:lang w:val="hu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C34626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C34626">
      <w:rPr>
        <w:rFonts w:ascii="Open Sans" w:hAnsi="Open Sans" w:cs="Open Sans"/>
        <w:noProof/>
        <w:sz w:val="18"/>
        <w:szCs w:val="18"/>
        <w:lang w:val="hu"/>
      </w:rPr>
      <w:t>2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9226AA" w:rsidRPr="007C39E6" w:rsidRDefault="009226AA" w:rsidP="00CF24C6">
    <w:pPr>
      <w:pStyle w:val="llb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  <w:lang w:val="hu"/>
      </w:rPr>
      <w:fldChar w:fldCharType="begin"/>
    </w:r>
    <w:r>
      <w:rPr>
        <w:rStyle w:val="Oldalszm"/>
        <w:lang w:val="hu"/>
      </w:rPr>
      <w:instrText xml:space="preserve">PAGE  </w:instrText>
    </w:r>
    <w:r>
      <w:rPr>
        <w:rStyle w:val="Oldalszm"/>
        <w:lang w:val="hu"/>
      </w:rPr>
      <w:fldChar w:fldCharType="separate"/>
    </w:r>
    <w:r>
      <w:rPr>
        <w:rStyle w:val="Oldalszm"/>
        <w:noProof/>
        <w:lang w:val="hu"/>
      </w:rPr>
      <w:t>1</w:t>
    </w:r>
    <w:r>
      <w:rPr>
        <w:rStyle w:val="Oldalszm"/>
        <w:lang w:val="hu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</w:rPr>
    </w:pPr>
    <w:r>
      <w:rPr>
        <w:rFonts w:ascii="Arial" w:hAnsi="Arial"/>
        <w:sz w:val="20"/>
        <w:lang w:val="hu"/>
      </w:rPr>
      <w:t>2006</w:t>
    </w:r>
    <w:r>
      <w:rPr>
        <w:rFonts w:ascii="Arial" w:hAnsi="Arial"/>
        <w:sz w:val="20"/>
        <w:lang w:val="hu"/>
      </w:rPr>
      <w:tab/>
    </w:r>
    <w:r>
      <w:rPr>
        <w:rFonts w:ascii="Arial" w:hAnsi="Arial"/>
        <w:sz w:val="20"/>
        <w:lang w:val="h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264" w:rsidRDefault="00411264">
      <w:r>
        <w:separator/>
      </w:r>
    </w:p>
  </w:footnote>
  <w:footnote w:type="continuationSeparator" w:id="0">
    <w:p w:rsidR="00411264" w:rsidRDefault="00411264">
      <w:r>
        <w:continuationSeparator/>
      </w:r>
    </w:p>
  </w:footnote>
  <w:footnote w:id="1">
    <w:p w:rsidR="002D2DB3" w:rsidRPr="002D2DB3" w:rsidRDefault="008F349D">
      <w:pPr>
        <w:pStyle w:val="Lbjegyzetszveg"/>
        <w:rPr>
          <w:rFonts w:ascii="Open Sans" w:hAnsi="Open Sans" w:cs="Open Sans"/>
          <w:sz w:val="16"/>
          <w:szCs w:val="16"/>
        </w:rPr>
      </w:pPr>
      <w:r>
        <w:rPr>
          <w:rStyle w:val="Lbjegyzet-hivatkozs"/>
          <w:rFonts w:ascii="Open Sans" w:hAnsi="Open Sans" w:cs="Open Sans"/>
          <w:sz w:val="16"/>
          <w:szCs w:val="16"/>
          <w:lang w:val="hu-HU"/>
        </w:rPr>
        <w:footnoteRef/>
      </w:r>
      <w:r>
        <w:rPr>
          <w:rFonts w:ascii="Open Sans" w:hAnsi="Open Sans" w:cs="Open Sans"/>
          <w:sz w:val="16"/>
          <w:szCs w:val="16"/>
          <w:lang w:val="hu-HU"/>
        </w:rPr>
        <w:t xml:space="preserve"> A postán vagy futárszolgálattal benyújtott ajánlatok estében a feladás napja a postabélyegző vagy feladóvevény dátuma.</w:t>
      </w:r>
    </w:p>
  </w:footnote>
  <w:footnote w:id="2">
    <w:p w:rsidR="000D7F28" w:rsidRPr="000D7F28" w:rsidRDefault="000D7F28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 w:rsidR="002842AB">
        <w:rPr>
          <w:rFonts w:ascii="Open Sans" w:hAnsi="Open Sans"/>
          <w:sz w:val="16"/>
          <w:szCs w:val="16"/>
          <w:lang w:val="hu"/>
        </w:rPr>
        <w:t>Amennyiben nem releváns,</w:t>
      </w:r>
      <w:r>
        <w:rPr>
          <w:rFonts w:ascii="Open Sans" w:hAnsi="Open Sans"/>
          <w:sz w:val="16"/>
          <w:szCs w:val="16"/>
          <w:lang w:val="hu"/>
        </w:rPr>
        <w:t xml:space="preserve"> törlendő</w:t>
      </w:r>
      <w:r w:rsidR="002842AB">
        <w:rPr>
          <w:rFonts w:ascii="Open Sans" w:hAnsi="Open Sans"/>
          <w:sz w:val="16"/>
          <w:szCs w:val="16"/>
          <w:lang w:val="hu"/>
        </w:rPr>
        <w:t>.</w:t>
      </w:r>
    </w:p>
  </w:footnote>
  <w:footnote w:id="3">
    <w:p w:rsidR="0032268B" w:rsidRPr="0032268B" w:rsidRDefault="0032268B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rStyle w:val="Lbjegyzet-hivatkozs"/>
          <w:lang w:val="hu"/>
        </w:rPr>
        <w:t xml:space="preserve"> </w:t>
      </w:r>
      <w:r>
        <w:rPr>
          <w:rFonts w:ascii="Open Sans" w:hAnsi="Open Sans" w:cs="Open Sans"/>
          <w:sz w:val="16"/>
          <w:szCs w:val="16"/>
          <w:lang w:val="hu"/>
        </w:rPr>
        <w:t>Az értékelők számáról az ajánlatkérő dönt.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  <w:lang w:val="hu"/>
      </w:rPr>
      <w:t xml:space="preserve">&lt; Az ajánlatkérő </w:t>
    </w:r>
    <w:proofErr w:type="gramStart"/>
    <w:r>
      <w:rPr>
        <w:rFonts w:ascii="Arial" w:hAnsi="Arial"/>
        <w:b w:val="0"/>
        <w:lang w:val="hu"/>
      </w:rPr>
      <w:t>fejléce &gt;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FA7731"/>
    <w:multiLevelType w:val="hybridMultilevel"/>
    <w:tmpl w:val="DBCA4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6"/>
  </w:num>
  <w:num w:numId="10">
    <w:abstractNumId w:val="4"/>
  </w:num>
  <w:num w:numId="11">
    <w:abstractNumId w:val="20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1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21B57"/>
    <w:rsid w:val="00021C63"/>
    <w:rsid w:val="00030CCD"/>
    <w:rsid w:val="00033886"/>
    <w:rsid w:val="00043566"/>
    <w:rsid w:val="00046A7E"/>
    <w:rsid w:val="00053BF5"/>
    <w:rsid w:val="00074175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31D8"/>
    <w:rsid w:val="001B3804"/>
    <w:rsid w:val="001C275B"/>
    <w:rsid w:val="001C57B9"/>
    <w:rsid w:val="001C5AD8"/>
    <w:rsid w:val="001F45CF"/>
    <w:rsid w:val="00213552"/>
    <w:rsid w:val="00214481"/>
    <w:rsid w:val="0022765E"/>
    <w:rsid w:val="00255AC9"/>
    <w:rsid w:val="00261593"/>
    <w:rsid w:val="0026342A"/>
    <w:rsid w:val="002655B8"/>
    <w:rsid w:val="00282040"/>
    <w:rsid w:val="00282423"/>
    <w:rsid w:val="002842AB"/>
    <w:rsid w:val="0028637C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02C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11264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30D2E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D77E5"/>
    <w:rsid w:val="006E4B9A"/>
    <w:rsid w:val="00726A81"/>
    <w:rsid w:val="0073260A"/>
    <w:rsid w:val="0073667F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8F349D"/>
    <w:rsid w:val="00906E0B"/>
    <w:rsid w:val="009226AA"/>
    <w:rsid w:val="00925395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63499"/>
    <w:rsid w:val="00B918A6"/>
    <w:rsid w:val="00BA3C31"/>
    <w:rsid w:val="00BB6731"/>
    <w:rsid w:val="00BE10B1"/>
    <w:rsid w:val="00C00247"/>
    <w:rsid w:val="00C1062E"/>
    <w:rsid w:val="00C23158"/>
    <w:rsid w:val="00C34626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61CEB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0223"/>
    <w:rsid w:val="00E423D2"/>
    <w:rsid w:val="00E53148"/>
    <w:rsid w:val="00E536D4"/>
    <w:rsid w:val="00E65D48"/>
    <w:rsid w:val="00E8173D"/>
    <w:rsid w:val="00EA7377"/>
    <w:rsid w:val="00EB515F"/>
    <w:rsid w:val="00EC1676"/>
    <w:rsid w:val="00EF5A31"/>
    <w:rsid w:val="00F41223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16FF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a1">
    <w:name w:val="Lista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  <w:style w:type="paragraph" w:styleId="Listaszerbekezds">
    <w:name w:val="List Paragraph"/>
    <w:basedOn w:val="Norml"/>
    <w:uiPriority w:val="34"/>
    <w:qFormat/>
    <w:rsid w:val="00530D2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a1">
    <w:name w:val="Lista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  <w:style w:type="paragraph" w:styleId="Listaszerbekezds">
    <w:name w:val="List Paragraph"/>
    <w:basedOn w:val="Norml"/>
    <w:uiPriority w:val="34"/>
    <w:qFormat/>
    <w:rsid w:val="00530D2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D2915-3A58-4B1F-9162-A40AF8CE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482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Halász János</cp:lastModifiedBy>
  <cp:revision>9</cp:revision>
  <cp:lastPrinted>2008-10-14T14:53:00Z</cp:lastPrinted>
  <dcterms:created xsi:type="dcterms:W3CDTF">2017-01-11T08:59:00Z</dcterms:created>
  <dcterms:modified xsi:type="dcterms:W3CDTF">2017-03-10T10:38:00Z</dcterms:modified>
</cp:coreProperties>
</file>